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9613AF">
      <w:pPr>
        <w:spacing w:line="360" w:lineRule="auto"/>
        <w:jc w:val="center"/>
        <w:rPr>
          <w:rFonts w:ascii="黑体" w:eastAsia="黑体"/>
          <w:color w:val="000000" w:themeColor="text1"/>
          <w:sz w:val="48"/>
          <w:szCs w:val="48"/>
        </w:rPr>
      </w:pPr>
      <w:r>
        <w:rPr>
          <w:rFonts w:ascii="黑体" w:eastAsia="黑体" w:hint="eastAsia"/>
          <w:color w:val="000000" w:themeColor="text1"/>
          <w:sz w:val="48"/>
          <w:szCs w:val="48"/>
        </w:rPr>
        <w:t>20</w:t>
      </w:r>
      <w:r>
        <w:rPr>
          <w:rFonts w:ascii="黑体" w:eastAsia="黑体" w:hint="eastAsia"/>
          <w:color w:val="000000" w:themeColor="text1"/>
          <w:sz w:val="48"/>
          <w:szCs w:val="48"/>
        </w:rPr>
        <w:t>21</w:t>
      </w:r>
      <w:r>
        <w:rPr>
          <w:rFonts w:ascii="黑体" w:eastAsia="黑体" w:hint="eastAsia"/>
          <w:color w:val="000000" w:themeColor="text1"/>
          <w:sz w:val="48"/>
          <w:szCs w:val="48"/>
        </w:rPr>
        <w:t>年度</w:t>
      </w:r>
    </w:p>
    <w:p w:rsidR="001F7EB1" w:rsidRDefault="009613AF">
      <w:pPr>
        <w:spacing w:line="360" w:lineRule="auto"/>
        <w:jc w:val="center"/>
        <w:rPr>
          <w:rFonts w:ascii="黑体" w:eastAsia="黑体"/>
          <w:color w:val="000000" w:themeColor="text1"/>
          <w:sz w:val="48"/>
          <w:szCs w:val="48"/>
        </w:rPr>
      </w:pPr>
      <w:r>
        <w:rPr>
          <w:rFonts w:ascii="黑体" w:eastAsia="黑体" w:hint="eastAsia"/>
          <w:color w:val="000000" w:themeColor="text1"/>
          <w:sz w:val="48"/>
          <w:szCs w:val="48"/>
        </w:rPr>
        <w:t>济宁市</w:t>
      </w:r>
      <w:r>
        <w:rPr>
          <w:rFonts w:ascii="黑体" w:eastAsia="黑体" w:hint="eastAsia"/>
          <w:color w:val="000000" w:themeColor="text1"/>
          <w:sz w:val="48"/>
          <w:szCs w:val="48"/>
        </w:rPr>
        <w:t>城市集中式饮用水源地</w:t>
      </w:r>
    </w:p>
    <w:p w:rsidR="001F7EB1" w:rsidRDefault="002619CE">
      <w:pPr>
        <w:spacing w:line="360" w:lineRule="auto"/>
        <w:jc w:val="center"/>
        <w:rPr>
          <w:rFonts w:ascii="黑体" w:eastAsia="黑体"/>
          <w:color w:val="000000" w:themeColor="text1"/>
          <w:sz w:val="48"/>
          <w:szCs w:val="48"/>
        </w:rPr>
      </w:pPr>
      <w:r>
        <w:rPr>
          <w:rFonts w:ascii="黑体" w:eastAsia="黑体" w:hint="eastAsia"/>
          <w:color w:val="000000" w:themeColor="text1"/>
          <w:sz w:val="48"/>
          <w:szCs w:val="48"/>
        </w:rPr>
        <w:t>水质</w:t>
      </w:r>
      <w:r w:rsidR="009613AF">
        <w:rPr>
          <w:rFonts w:ascii="黑体" w:eastAsia="黑体" w:hint="eastAsia"/>
          <w:color w:val="000000" w:themeColor="text1"/>
          <w:sz w:val="48"/>
          <w:szCs w:val="48"/>
        </w:rPr>
        <w:t>全分析监测报告</w:t>
      </w: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1F7EB1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1F7EB1" w:rsidRDefault="009613AF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  <w:r>
        <w:rPr>
          <w:rFonts w:ascii="黑体" w:eastAsia="黑体" w:hint="eastAsia"/>
          <w:color w:val="000000" w:themeColor="text1"/>
          <w:sz w:val="32"/>
        </w:rPr>
        <w:t>山东省济宁生态环境监测中心</w:t>
      </w:r>
    </w:p>
    <w:p w:rsidR="001F7EB1" w:rsidRDefault="009613AF">
      <w:pPr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  <w:r>
        <w:rPr>
          <w:rFonts w:ascii="黑体" w:eastAsia="黑体" w:hint="eastAsia"/>
          <w:color w:val="000000" w:themeColor="text1"/>
          <w:sz w:val="32"/>
        </w:rPr>
        <w:t>二</w:t>
      </w:r>
      <w:r>
        <w:rPr>
          <w:rFonts w:ascii="黑体" w:eastAsia="黑体" w:hint="eastAsia"/>
          <w:color w:val="000000" w:themeColor="text1"/>
          <w:sz w:val="32"/>
        </w:rPr>
        <w:t>〇二一</w:t>
      </w:r>
      <w:r>
        <w:rPr>
          <w:rFonts w:ascii="黑体" w:eastAsia="黑体" w:hint="eastAsia"/>
          <w:color w:val="000000" w:themeColor="text1"/>
          <w:sz w:val="32"/>
        </w:rPr>
        <w:t>年</w:t>
      </w:r>
      <w:r>
        <w:rPr>
          <w:rFonts w:ascii="黑体" w:eastAsia="黑体" w:hint="eastAsia"/>
          <w:color w:val="000000" w:themeColor="text1"/>
          <w:sz w:val="32"/>
        </w:rPr>
        <w:t>七</w:t>
      </w:r>
      <w:r>
        <w:rPr>
          <w:rFonts w:ascii="黑体" w:eastAsia="黑体" w:hint="eastAsia"/>
          <w:color w:val="000000" w:themeColor="text1"/>
          <w:sz w:val="32"/>
        </w:rPr>
        <w:t>月</w:t>
      </w:r>
    </w:p>
    <w:p w:rsidR="006513B1" w:rsidRDefault="009613AF">
      <w:pPr>
        <w:spacing w:line="360" w:lineRule="auto"/>
        <w:jc w:val="center"/>
        <w:rPr>
          <w:rFonts w:ascii="黑体" w:eastAsia="黑体" w:hint="eastAsia"/>
          <w:color w:val="000000" w:themeColor="text1"/>
          <w:sz w:val="44"/>
        </w:rPr>
      </w:pPr>
      <w:r>
        <w:rPr>
          <w:rFonts w:ascii="黑体" w:eastAsia="黑体"/>
          <w:color w:val="000000" w:themeColor="text1"/>
          <w:sz w:val="44"/>
        </w:rPr>
        <w:br w:type="page"/>
      </w:r>
    </w:p>
    <w:p w:rsidR="006513B1" w:rsidRDefault="006513B1">
      <w:pPr>
        <w:spacing w:line="360" w:lineRule="auto"/>
        <w:jc w:val="center"/>
        <w:rPr>
          <w:rFonts w:ascii="黑体" w:eastAsia="黑体" w:hint="eastAsia"/>
          <w:color w:val="000000" w:themeColor="text1"/>
          <w:sz w:val="44"/>
        </w:rPr>
      </w:pPr>
    </w:p>
    <w:p w:rsidR="001F7EB1" w:rsidRPr="006513B1" w:rsidRDefault="009613AF">
      <w:pPr>
        <w:spacing w:line="360" w:lineRule="auto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6513B1">
        <w:rPr>
          <w:rFonts w:ascii="方正小标宋简体" w:eastAsia="方正小标宋简体" w:hint="eastAsia"/>
          <w:color w:val="000000" w:themeColor="text1"/>
          <w:sz w:val="44"/>
          <w:szCs w:val="44"/>
        </w:rPr>
        <w:t>济宁市</w:t>
      </w:r>
      <w:r w:rsidRPr="006513B1">
        <w:rPr>
          <w:rFonts w:ascii="方正小标宋简体" w:eastAsia="方正小标宋简体" w:hint="eastAsia"/>
          <w:color w:val="000000" w:themeColor="text1"/>
          <w:sz w:val="44"/>
          <w:szCs w:val="44"/>
        </w:rPr>
        <w:t>城市集中式饮用水源地</w:t>
      </w:r>
    </w:p>
    <w:p w:rsidR="001F7EB1" w:rsidRPr="006513B1" w:rsidRDefault="006513B1">
      <w:pPr>
        <w:spacing w:line="360" w:lineRule="auto"/>
        <w:jc w:val="center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水质</w:t>
      </w:r>
      <w:r w:rsidR="009613AF" w:rsidRPr="006513B1">
        <w:rPr>
          <w:rFonts w:ascii="方正小标宋简体" w:eastAsia="方正小标宋简体" w:hint="eastAsia"/>
          <w:color w:val="000000" w:themeColor="text1"/>
          <w:sz w:val="44"/>
          <w:szCs w:val="44"/>
        </w:rPr>
        <w:t>全分析监测报告</w:t>
      </w:r>
    </w:p>
    <w:p w:rsidR="001F7EB1" w:rsidRDefault="001F7EB1">
      <w:pPr>
        <w:spacing w:line="360" w:lineRule="auto"/>
        <w:jc w:val="center"/>
        <w:rPr>
          <w:rFonts w:ascii="黑体" w:eastAsia="黑体"/>
          <w:color w:val="C00000"/>
          <w:sz w:val="44"/>
        </w:rPr>
      </w:pPr>
    </w:p>
    <w:p w:rsidR="001F7EB1" w:rsidRPr="006513B1" w:rsidRDefault="009613AF" w:rsidP="006513B1">
      <w:pPr>
        <w:adjustRightInd w:val="0"/>
        <w:spacing w:line="580" w:lineRule="exact"/>
        <w:ind w:firstLineChars="200" w:firstLine="640"/>
        <w:rPr>
          <w:rFonts w:ascii="方正仿宋简体" w:eastAsia="方正仿宋简体" w:hint="eastAsia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根据山东省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生态环境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厅《关于印发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202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1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年山东省生态环境监测方案的通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知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 xml:space="preserve"> (</w:t>
      </w:r>
      <w:proofErr w:type="gramStart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鲁环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函</w:t>
      </w:r>
      <w:proofErr w:type="gramEnd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〔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20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21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〕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74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号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)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要求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，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20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21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年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7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月济宁生态环境监测中心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对济宁城区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集中式饮用水源地开展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了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水质全分析监测工作，现将工作情况报告如下：</w:t>
      </w:r>
    </w:p>
    <w:p w:rsidR="001F7EB1" w:rsidRPr="006513B1" w:rsidRDefault="009613AF" w:rsidP="006513B1">
      <w:pPr>
        <w:spacing w:line="580" w:lineRule="exact"/>
        <w:ind w:firstLineChars="200" w:firstLine="643"/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</w:pP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一、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济宁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市饮用水源地水质全分析监测情况</w:t>
      </w:r>
    </w:p>
    <w:p w:rsidR="001F7EB1" w:rsidRPr="006513B1" w:rsidRDefault="009613AF" w:rsidP="006513B1">
      <w:pPr>
        <w:adjustRightInd w:val="0"/>
        <w:spacing w:line="580" w:lineRule="exact"/>
        <w:ind w:firstLineChars="200" w:firstLine="643"/>
        <w:rPr>
          <w:rFonts w:ascii="方正仿宋简体" w:eastAsia="方正仿宋简体" w:hint="eastAsia"/>
          <w:b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1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、水源地基本情况</w:t>
      </w:r>
    </w:p>
    <w:p w:rsidR="001F7EB1" w:rsidRPr="006513B1" w:rsidRDefault="009613AF" w:rsidP="006513B1">
      <w:pPr>
        <w:adjustRightInd w:val="0"/>
        <w:spacing w:line="580" w:lineRule="exact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我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市设立城北水源地（苏庄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1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号井）、城南水源地（滨河大道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号井）、城东水源地（</w:t>
      </w:r>
      <w:proofErr w:type="gramStart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接庄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4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号</w:t>
      </w:r>
      <w:proofErr w:type="gramEnd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井）、凤凰台水源地（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13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号井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4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个集中式饮用水源地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，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均为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地下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水型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水源。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基本情况见表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1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。</w:t>
      </w:r>
    </w:p>
    <w:p w:rsidR="001F7EB1" w:rsidRDefault="009613AF">
      <w:pPr>
        <w:adjustRightInd w:val="0"/>
        <w:spacing w:line="360" w:lineRule="auto"/>
        <w:ind w:firstLine="646"/>
        <w:jc w:val="center"/>
        <w:rPr>
          <w:rFonts w:ascii="楷体_GB2312" w:eastAsia="楷体_GB2312"/>
          <w:color w:val="000000" w:themeColor="text1"/>
        </w:rPr>
      </w:pP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表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 xml:space="preserve">1 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济宁市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城市集中式</w:t>
      </w:r>
      <w:r>
        <w:rPr>
          <w:rFonts w:ascii="楷体_GB2312" w:eastAsia="楷体_GB2312" w:hAnsi="ˎ̥" w:hint="eastAsia"/>
          <w:b/>
          <w:color w:val="000000" w:themeColor="text1"/>
          <w:sz w:val="28"/>
          <w:szCs w:val="28"/>
        </w:rPr>
        <w:t>地下水</w:t>
      </w:r>
      <w:r>
        <w:rPr>
          <w:rFonts w:ascii="楷体_GB2312" w:eastAsia="楷体_GB2312" w:hint="eastAsia"/>
          <w:b/>
          <w:color w:val="000000" w:themeColor="text1"/>
          <w:sz w:val="28"/>
          <w:szCs w:val="28"/>
        </w:rPr>
        <w:t>饮用水源地基本情况</w:t>
      </w:r>
    </w:p>
    <w:tbl>
      <w:tblPr>
        <w:tblW w:w="9854" w:type="dxa"/>
        <w:tblInd w:w="288" w:type="dxa"/>
        <w:tblLayout w:type="fixed"/>
        <w:tblLook w:val="04A0"/>
      </w:tblPr>
      <w:tblGrid>
        <w:gridCol w:w="1241"/>
        <w:gridCol w:w="1951"/>
        <w:gridCol w:w="1952"/>
        <w:gridCol w:w="2355"/>
        <w:gridCol w:w="2355"/>
      </w:tblGrid>
      <w:tr w:rsidR="001F7EB1">
        <w:trPr>
          <w:trHeight w:val="227"/>
          <w:tblHeader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bookmarkStart w:id="0" w:name="_GoBack" w:colFirst="0" w:colLast="4"/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城市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点位名称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供水量（万吨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月）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地理位置</w:t>
            </w:r>
          </w:p>
        </w:tc>
      </w:tr>
      <w:tr w:rsidR="001F7EB1">
        <w:trPr>
          <w:trHeight w:val="227"/>
          <w:tblHeader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B1" w:rsidRDefault="001F7EB1">
            <w:pPr>
              <w:widowControl/>
              <w:jc w:val="left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B1" w:rsidRDefault="001F7EB1">
            <w:pPr>
              <w:widowControl/>
              <w:jc w:val="left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B1" w:rsidRDefault="001F7EB1">
            <w:pPr>
              <w:widowControl/>
              <w:jc w:val="left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经度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0"/>
                <w:szCs w:val="20"/>
              </w:rPr>
              <w:t>纬度</w:t>
            </w:r>
          </w:p>
        </w:tc>
      </w:tr>
      <w:tr w:rsidR="001F7EB1">
        <w:trPr>
          <w:trHeight w:val="227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</w:rPr>
              <w:t>济宁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0"/>
                <w:szCs w:val="20"/>
              </w:rPr>
              <w:t>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苏庄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号井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6.61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116.596067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35.503263</w:t>
            </w:r>
          </w:p>
        </w:tc>
      </w:tr>
      <w:tr w:rsidR="001F7EB1">
        <w:trPr>
          <w:trHeight w:val="227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1F7EB1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号井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7.96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116.512212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35.42232</w:t>
            </w:r>
          </w:p>
        </w:tc>
      </w:tr>
      <w:tr w:rsidR="001F7EB1">
        <w:trPr>
          <w:trHeight w:val="227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1F7EB1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滨河大道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号井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10.56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116.567215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35.339267</w:t>
            </w:r>
          </w:p>
        </w:tc>
      </w:tr>
      <w:tr w:rsidR="001F7EB1">
        <w:trPr>
          <w:trHeight w:val="227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1F7EB1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接庄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井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EB1" w:rsidRDefault="009613A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5.59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116.717518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B1" w:rsidRDefault="009613A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/>
              </w:rPr>
              <w:t>35.366989</w:t>
            </w:r>
          </w:p>
        </w:tc>
      </w:tr>
    </w:tbl>
    <w:bookmarkEnd w:id="0"/>
    <w:p w:rsidR="001F7EB1" w:rsidRPr="006513B1" w:rsidRDefault="009613AF" w:rsidP="006513B1">
      <w:pPr>
        <w:adjustRightInd w:val="0"/>
        <w:spacing w:line="360" w:lineRule="auto"/>
        <w:ind w:firstLineChars="200" w:firstLine="643"/>
        <w:rPr>
          <w:rFonts w:ascii="方正仿宋简体" w:eastAsia="方正仿宋简体"/>
          <w:b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2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、全分析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监测情况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地下水饮用水源地按照《地下水质量标准》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（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GB/T14848-2017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进行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93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项全分析。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通过自行承担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和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委托山东嘉源检测技术有限公司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完成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了全分析监测工作。</w:t>
      </w:r>
    </w:p>
    <w:p w:rsidR="001F7EB1" w:rsidRPr="006513B1" w:rsidRDefault="009613AF">
      <w:pPr>
        <w:spacing w:line="360" w:lineRule="auto"/>
        <w:ind w:firstLineChars="200" w:firstLine="643"/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</w:pP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二、质量保证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/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质量控制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按照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《环境水质监测质量保证手册（第二版）》有关要求，开展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lastRenderedPageBreak/>
        <w:t>质量保证和质量控制。</w:t>
      </w:r>
    </w:p>
    <w:p w:rsidR="001F7EB1" w:rsidRPr="006513B1" w:rsidRDefault="009613AF" w:rsidP="006513B1">
      <w:pPr>
        <w:spacing w:line="360" w:lineRule="auto"/>
        <w:ind w:firstLineChars="200" w:firstLine="643"/>
        <w:rPr>
          <w:rFonts w:ascii="黑体" w:eastAsia="黑体" w:hAnsi="黑体"/>
          <w:b/>
          <w:bCs/>
          <w:color w:val="000000" w:themeColor="text1"/>
          <w:sz w:val="32"/>
          <w:szCs w:val="28"/>
        </w:rPr>
      </w:pP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三、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饮用水源地水质全分析</w:t>
      </w:r>
      <w:r w:rsidRPr="006513B1">
        <w:rPr>
          <w:rFonts w:ascii="黑体" w:eastAsia="黑体" w:hAnsi="黑体" w:hint="eastAsia"/>
          <w:b/>
          <w:bCs/>
          <w:color w:val="000000" w:themeColor="text1"/>
          <w:sz w:val="32"/>
          <w:szCs w:val="28"/>
        </w:rPr>
        <w:t>监测结果与评价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3"/>
        <w:rPr>
          <w:rFonts w:ascii="方正仿宋简体" w:eastAsia="方正仿宋简体"/>
          <w:b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1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、</w:t>
      </w:r>
      <w:r w:rsidRPr="006513B1">
        <w:rPr>
          <w:rFonts w:ascii="方正仿宋简体" w:eastAsia="方正仿宋简体"/>
          <w:b/>
          <w:color w:val="000000" w:themeColor="text1"/>
          <w:sz w:val="32"/>
          <w:szCs w:val="28"/>
        </w:rPr>
        <w:t>评价标准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地下水饮用水源水质评价执行《地下水质量标准》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（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GB/T14848-2017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的Ⅲ类标准（按要求的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93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项监测项目）。饮用水源地水质指标中的任一项指标评价结果不达标，则该水源地水质评价结果为不合格。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3"/>
        <w:rPr>
          <w:rFonts w:ascii="方正仿宋简体" w:eastAsia="方正仿宋简体"/>
          <w:b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2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、水质情况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4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个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集中式饮用水源地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《地下水质量标准》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（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GB/T14848-2017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要求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的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93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项监测项目中，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全部达到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Ⅲ</w:t>
      </w:r>
      <w:r w:rsidRPr="006513B1">
        <w:rPr>
          <w:rFonts w:ascii="方正仿宋简体" w:eastAsia="方正仿宋简体"/>
          <w:color w:val="000000" w:themeColor="text1"/>
          <w:sz w:val="32"/>
          <w:szCs w:val="28"/>
        </w:rPr>
        <w:t>类标准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。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3"/>
        <w:rPr>
          <w:rFonts w:ascii="方正仿宋简体" w:eastAsia="方正仿宋简体"/>
          <w:b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3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、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表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2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特定项目</w:t>
      </w:r>
      <w:r w:rsidRPr="006513B1">
        <w:rPr>
          <w:rFonts w:ascii="方正仿宋简体" w:eastAsia="方正仿宋简体" w:hint="eastAsia"/>
          <w:b/>
          <w:color w:val="000000" w:themeColor="text1"/>
          <w:sz w:val="32"/>
          <w:szCs w:val="28"/>
        </w:rPr>
        <w:t>检出情况</w:t>
      </w:r>
    </w:p>
    <w:p w:rsidR="001F7EB1" w:rsidRPr="006513B1" w:rsidRDefault="009613AF" w:rsidP="006513B1">
      <w:pPr>
        <w:adjustRightInd w:val="0"/>
        <w:spacing w:line="360" w:lineRule="auto"/>
        <w:ind w:firstLineChars="200" w:firstLine="640"/>
        <w:rPr>
          <w:rFonts w:ascii="方正仿宋简体" w:eastAsia="方正仿宋简体"/>
          <w:color w:val="000000" w:themeColor="text1"/>
          <w:sz w:val="32"/>
          <w:szCs w:val="28"/>
        </w:rPr>
      </w:pP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《地下水质量标准》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（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GB/T14848-2017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）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表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2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中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的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54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个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非常规指标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中，钡、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硼</w:t>
      </w:r>
      <w:proofErr w:type="gramStart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检出未</w:t>
      </w:r>
      <w:proofErr w:type="gramEnd"/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超标，其余项目</w:t>
      </w:r>
      <w:r w:rsidRPr="006513B1">
        <w:rPr>
          <w:rFonts w:ascii="方正仿宋简体" w:eastAsia="方正仿宋简体" w:hint="eastAsia"/>
          <w:color w:val="000000" w:themeColor="text1"/>
          <w:sz w:val="32"/>
          <w:szCs w:val="28"/>
        </w:rPr>
        <w:t>全部未检出。</w:t>
      </w:r>
    </w:p>
    <w:sectPr w:rsidR="001F7EB1" w:rsidRPr="006513B1" w:rsidSect="001F7EB1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AF" w:rsidRDefault="009613AF" w:rsidP="006513B1">
      <w:r>
        <w:separator/>
      </w:r>
    </w:p>
  </w:endnote>
  <w:endnote w:type="continuationSeparator" w:id="0">
    <w:p w:rsidR="009613AF" w:rsidRDefault="009613AF" w:rsidP="00651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AF" w:rsidRDefault="009613AF" w:rsidP="006513B1">
      <w:r>
        <w:separator/>
      </w:r>
    </w:p>
  </w:footnote>
  <w:footnote w:type="continuationSeparator" w:id="0">
    <w:p w:rsidR="009613AF" w:rsidRDefault="009613AF" w:rsidP="00651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5546"/>
    <w:rsid w:val="0000101B"/>
    <w:rsid w:val="0000333D"/>
    <w:rsid w:val="00004D99"/>
    <w:rsid w:val="000140A4"/>
    <w:rsid w:val="0001458E"/>
    <w:rsid w:val="000168C6"/>
    <w:rsid w:val="000201B7"/>
    <w:rsid w:val="00023DC9"/>
    <w:rsid w:val="0003079C"/>
    <w:rsid w:val="00030E73"/>
    <w:rsid w:val="00031C02"/>
    <w:rsid w:val="000341FD"/>
    <w:rsid w:val="00034A1E"/>
    <w:rsid w:val="00036212"/>
    <w:rsid w:val="00037431"/>
    <w:rsid w:val="00037AC2"/>
    <w:rsid w:val="00045FB6"/>
    <w:rsid w:val="0005097E"/>
    <w:rsid w:val="000520AB"/>
    <w:rsid w:val="00052660"/>
    <w:rsid w:val="00053119"/>
    <w:rsid w:val="00056335"/>
    <w:rsid w:val="00064767"/>
    <w:rsid w:val="00065E3F"/>
    <w:rsid w:val="000670E6"/>
    <w:rsid w:val="00072758"/>
    <w:rsid w:val="000765BD"/>
    <w:rsid w:val="000771F8"/>
    <w:rsid w:val="00081B46"/>
    <w:rsid w:val="00081CB7"/>
    <w:rsid w:val="000822E2"/>
    <w:rsid w:val="00082BEE"/>
    <w:rsid w:val="00083531"/>
    <w:rsid w:val="0008573E"/>
    <w:rsid w:val="000857B4"/>
    <w:rsid w:val="00086D82"/>
    <w:rsid w:val="00087D1E"/>
    <w:rsid w:val="00093643"/>
    <w:rsid w:val="000936F3"/>
    <w:rsid w:val="000964B8"/>
    <w:rsid w:val="000A02A0"/>
    <w:rsid w:val="000A3ABE"/>
    <w:rsid w:val="000A4CE1"/>
    <w:rsid w:val="000A54F7"/>
    <w:rsid w:val="000A63EB"/>
    <w:rsid w:val="000A6518"/>
    <w:rsid w:val="000A722D"/>
    <w:rsid w:val="000B26B1"/>
    <w:rsid w:val="000B46A6"/>
    <w:rsid w:val="000B5209"/>
    <w:rsid w:val="000B5B84"/>
    <w:rsid w:val="000B5FB7"/>
    <w:rsid w:val="000C117E"/>
    <w:rsid w:val="000C381C"/>
    <w:rsid w:val="000D2927"/>
    <w:rsid w:val="000D3CC0"/>
    <w:rsid w:val="000D62CC"/>
    <w:rsid w:val="000E06BF"/>
    <w:rsid w:val="000E16F8"/>
    <w:rsid w:val="000E57F7"/>
    <w:rsid w:val="000E6169"/>
    <w:rsid w:val="000E6BAE"/>
    <w:rsid w:val="000F0FD7"/>
    <w:rsid w:val="000F43FC"/>
    <w:rsid w:val="000F530F"/>
    <w:rsid w:val="00104A7E"/>
    <w:rsid w:val="00107AD9"/>
    <w:rsid w:val="001117FE"/>
    <w:rsid w:val="001147D8"/>
    <w:rsid w:val="00114E81"/>
    <w:rsid w:val="00121D7E"/>
    <w:rsid w:val="001221FC"/>
    <w:rsid w:val="001227F8"/>
    <w:rsid w:val="0012506A"/>
    <w:rsid w:val="0012699F"/>
    <w:rsid w:val="00127279"/>
    <w:rsid w:val="00132E05"/>
    <w:rsid w:val="00135462"/>
    <w:rsid w:val="00136E7F"/>
    <w:rsid w:val="00140E1B"/>
    <w:rsid w:val="00142750"/>
    <w:rsid w:val="00144BC1"/>
    <w:rsid w:val="00164343"/>
    <w:rsid w:val="00164696"/>
    <w:rsid w:val="001770D3"/>
    <w:rsid w:val="0017790C"/>
    <w:rsid w:val="00184731"/>
    <w:rsid w:val="0018722A"/>
    <w:rsid w:val="0018731B"/>
    <w:rsid w:val="0019380D"/>
    <w:rsid w:val="00194E93"/>
    <w:rsid w:val="001A0564"/>
    <w:rsid w:val="001A6104"/>
    <w:rsid w:val="001A6AA5"/>
    <w:rsid w:val="001B3FE0"/>
    <w:rsid w:val="001B6DB4"/>
    <w:rsid w:val="001C18BD"/>
    <w:rsid w:val="001C22F3"/>
    <w:rsid w:val="001C2592"/>
    <w:rsid w:val="001C575A"/>
    <w:rsid w:val="001C6812"/>
    <w:rsid w:val="001C6FBD"/>
    <w:rsid w:val="001D6690"/>
    <w:rsid w:val="001D701D"/>
    <w:rsid w:val="001E0261"/>
    <w:rsid w:val="001E1185"/>
    <w:rsid w:val="001E2B1B"/>
    <w:rsid w:val="001E2BDB"/>
    <w:rsid w:val="001E51AA"/>
    <w:rsid w:val="001E6E18"/>
    <w:rsid w:val="001E7D3B"/>
    <w:rsid w:val="001F0483"/>
    <w:rsid w:val="001F2664"/>
    <w:rsid w:val="001F7EB1"/>
    <w:rsid w:val="002022BC"/>
    <w:rsid w:val="00207306"/>
    <w:rsid w:val="00207D9D"/>
    <w:rsid w:val="00211DA8"/>
    <w:rsid w:val="002134A1"/>
    <w:rsid w:val="0021358A"/>
    <w:rsid w:val="002239FB"/>
    <w:rsid w:val="0022798E"/>
    <w:rsid w:val="002327C0"/>
    <w:rsid w:val="00234814"/>
    <w:rsid w:val="00234F40"/>
    <w:rsid w:val="00236266"/>
    <w:rsid w:val="00241C49"/>
    <w:rsid w:val="002511AE"/>
    <w:rsid w:val="002511F5"/>
    <w:rsid w:val="00255C69"/>
    <w:rsid w:val="002601E8"/>
    <w:rsid w:val="002605CB"/>
    <w:rsid w:val="002619CE"/>
    <w:rsid w:val="00262985"/>
    <w:rsid w:val="00263A9B"/>
    <w:rsid w:val="0026702C"/>
    <w:rsid w:val="00270D5F"/>
    <w:rsid w:val="00276E1B"/>
    <w:rsid w:val="00282F78"/>
    <w:rsid w:val="00284814"/>
    <w:rsid w:val="0028566D"/>
    <w:rsid w:val="002938BA"/>
    <w:rsid w:val="0029676D"/>
    <w:rsid w:val="002A48E3"/>
    <w:rsid w:val="002B1354"/>
    <w:rsid w:val="002B5BC4"/>
    <w:rsid w:val="002C1D6A"/>
    <w:rsid w:val="002C2D42"/>
    <w:rsid w:val="002C3112"/>
    <w:rsid w:val="002C4A85"/>
    <w:rsid w:val="002C5D8C"/>
    <w:rsid w:val="002C668A"/>
    <w:rsid w:val="002D505C"/>
    <w:rsid w:val="002D77B9"/>
    <w:rsid w:val="002E0C94"/>
    <w:rsid w:val="002E3826"/>
    <w:rsid w:val="002E5248"/>
    <w:rsid w:val="002F0389"/>
    <w:rsid w:val="002F26E8"/>
    <w:rsid w:val="002F3EEE"/>
    <w:rsid w:val="002F4F09"/>
    <w:rsid w:val="002F7A28"/>
    <w:rsid w:val="00301F7C"/>
    <w:rsid w:val="00302A1E"/>
    <w:rsid w:val="00303517"/>
    <w:rsid w:val="00304AEC"/>
    <w:rsid w:val="003055FD"/>
    <w:rsid w:val="00305D71"/>
    <w:rsid w:val="003071B0"/>
    <w:rsid w:val="003104F5"/>
    <w:rsid w:val="00315C26"/>
    <w:rsid w:val="003170D9"/>
    <w:rsid w:val="00324021"/>
    <w:rsid w:val="00324869"/>
    <w:rsid w:val="00327247"/>
    <w:rsid w:val="00331802"/>
    <w:rsid w:val="00333DCD"/>
    <w:rsid w:val="003346C9"/>
    <w:rsid w:val="003372F4"/>
    <w:rsid w:val="00337B5B"/>
    <w:rsid w:val="00342CC4"/>
    <w:rsid w:val="00343230"/>
    <w:rsid w:val="00343F39"/>
    <w:rsid w:val="00345CEB"/>
    <w:rsid w:val="00350413"/>
    <w:rsid w:val="003519E9"/>
    <w:rsid w:val="0035494B"/>
    <w:rsid w:val="00357C99"/>
    <w:rsid w:val="0036049A"/>
    <w:rsid w:val="003605C8"/>
    <w:rsid w:val="00362770"/>
    <w:rsid w:val="00365088"/>
    <w:rsid w:val="003707AF"/>
    <w:rsid w:val="00377A67"/>
    <w:rsid w:val="0038070F"/>
    <w:rsid w:val="00382295"/>
    <w:rsid w:val="0038260B"/>
    <w:rsid w:val="00382ED2"/>
    <w:rsid w:val="0038499B"/>
    <w:rsid w:val="00390575"/>
    <w:rsid w:val="003A06A7"/>
    <w:rsid w:val="003A2745"/>
    <w:rsid w:val="003A538D"/>
    <w:rsid w:val="003A7F94"/>
    <w:rsid w:val="003B3726"/>
    <w:rsid w:val="003B3AED"/>
    <w:rsid w:val="003B5383"/>
    <w:rsid w:val="003B5F49"/>
    <w:rsid w:val="003C198C"/>
    <w:rsid w:val="003C3DA9"/>
    <w:rsid w:val="003C5546"/>
    <w:rsid w:val="003D14CF"/>
    <w:rsid w:val="003D1C59"/>
    <w:rsid w:val="003E0195"/>
    <w:rsid w:val="003E1921"/>
    <w:rsid w:val="003F254B"/>
    <w:rsid w:val="00402A59"/>
    <w:rsid w:val="004038F4"/>
    <w:rsid w:val="00406C6F"/>
    <w:rsid w:val="004104EE"/>
    <w:rsid w:val="00410653"/>
    <w:rsid w:val="004139C2"/>
    <w:rsid w:val="00414EC7"/>
    <w:rsid w:val="004158CA"/>
    <w:rsid w:val="00426C0D"/>
    <w:rsid w:val="00426F8E"/>
    <w:rsid w:val="00430D50"/>
    <w:rsid w:val="00430E8D"/>
    <w:rsid w:val="00431575"/>
    <w:rsid w:val="00432E8D"/>
    <w:rsid w:val="00434958"/>
    <w:rsid w:val="004355A8"/>
    <w:rsid w:val="00440672"/>
    <w:rsid w:val="00440EA4"/>
    <w:rsid w:val="00442394"/>
    <w:rsid w:val="00456525"/>
    <w:rsid w:val="00456EFE"/>
    <w:rsid w:val="004617DF"/>
    <w:rsid w:val="0046250F"/>
    <w:rsid w:val="00465F60"/>
    <w:rsid w:val="00467E5D"/>
    <w:rsid w:val="0047151B"/>
    <w:rsid w:val="00473404"/>
    <w:rsid w:val="00475A4E"/>
    <w:rsid w:val="0047625A"/>
    <w:rsid w:val="004838D0"/>
    <w:rsid w:val="00483C29"/>
    <w:rsid w:val="00490DDB"/>
    <w:rsid w:val="00492F55"/>
    <w:rsid w:val="0049438E"/>
    <w:rsid w:val="0049601D"/>
    <w:rsid w:val="00496869"/>
    <w:rsid w:val="004A030B"/>
    <w:rsid w:val="004A24F2"/>
    <w:rsid w:val="004A25A5"/>
    <w:rsid w:val="004A5948"/>
    <w:rsid w:val="004A6154"/>
    <w:rsid w:val="004B52FE"/>
    <w:rsid w:val="004B5783"/>
    <w:rsid w:val="004C3416"/>
    <w:rsid w:val="004C5285"/>
    <w:rsid w:val="004C602F"/>
    <w:rsid w:val="004D25AB"/>
    <w:rsid w:val="004D6347"/>
    <w:rsid w:val="004D7632"/>
    <w:rsid w:val="004D764C"/>
    <w:rsid w:val="004D76A4"/>
    <w:rsid w:val="004E35DD"/>
    <w:rsid w:val="004E423A"/>
    <w:rsid w:val="004E5876"/>
    <w:rsid w:val="004F0274"/>
    <w:rsid w:val="00501A54"/>
    <w:rsid w:val="00504423"/>
    <w:rsid w:val="00506D99"/>
    <w:rsid w:val="00512B4C"/>
    <w:rsid w:val="00513C51"/>
    <w:rsid w:val="00515159"/>
    <w:rsid w:val="00515F16"/>
    <w:rsid w:val="005169F6"/>
    <w:rsid w:val="00520195"/>
    <w:rsid w:val="00520606"/>
    <w:rsid w:val="005234A9"/>
    <w:rsid w:val="00524B8C"/>
    <w:rsid w:val="00524BCB"/>
    <w:rsid w:val="00524DF7"/>
    <w:rsid w:val="00531E2E"/>
    <w:rsid w:val="00531F4A"/>
    <w:rsid w:val="00534AEC"/>
    <w:rsid w:val="00542206"/>
    <w:rsid w:val="00544258"/>
    <w:rsid w:val="00545583"/>
    <w:rsid w:val="00546381"/>
    <w:rsid w:val="00546677"/>
    <w:rsid w:val="005468FE"/>
    <w:rsid w:val="005513FA"/>
    <w:rsid w:val="00563A12"/>
    <w:rsid w:val="00563ACE"/>
    <w:rsid w:val="00565804"/>
    <w:rsid w:val="00565805"/>
    <w:rsid w:val="00567402"/>
    <w:rsid w:val="0057179E"/>
    <w:rsid w:val="005720C5"/>
    <w:rsid w:val="00577816"/>
    <w:rsid w:val="00581596"/>
    <w:rsid w:val="0058376C"/>
    <w:rsid w:val="00584220"/>
    <w:rsid w:val="00587C9A"/>
    <w:rsid w:val="00587D99"/>
    <w:rsid w:val="00590877"/>
    <w:rsid w:val="0059285F"/>
    <w:rsid w:val="00595F6B"/>
    <w:rsid w:val="005A06C9"/>
    <w:rsid w:val="005A1293"/>
    <w:rsid w:val="005A552A"/>
    <w:rsid w:val="005A7714"/>
    <w:rsid w:val="005A7E5E"/>
    <w:rsid w:val="005B0B92"/>
    <w:rsid w:val="005B1406"/>
    <w:rsid w:val="005B161E"/>
    <w:rsid w:val="005B47AD"/>
    <w:rsid w:val="005B5E58"/>
    <w:rsid w:val="005C4166"/>
    <w:rsid w:val="005C437E"/>
    <w:rsid w:val="005D2185"/>
    <w:rsid w:val="005D2679"/>
    <w:rsid w:val="005D5C21"/>
    <w:rsid w:val="005D5F42"/>
    <w:rsid w:val="005E0D37"/>
    <w:rsid w:val="005E5601"/>
    <w:rsid w:val="005F08C5"/>
    <w:rsid w:val="005F3937"/>
    <w:rsid w:val="005F6C0E"/>
    <w:rsid w:val="005F7127"/>
    <w:rsid w:val="005F7A37"/>
    <w:rsid w:val="00601BEE"/>
    <w:rsid w:val="00603F6B"/>
    <w:rsid w:val="006055F7"/>
    <w:rsid w:val="00605CE8"/>
    <w:rsid w:val="00613939"/>
    <w:rsid w:val="00617807"/>
    <w:rsid w:val="00621008"/>
    <w:rsid w:val="00627867"/>
    <w:rsid w:val="006337A7"/>
    <w:rsid w:val="0063488D"/>
    <w:rsid w:val="006361D3"/>
    <w:rsid w:val="00641059"/>
    <w:rsid w:val="00642D3A"/>
    <w:rsid w:val="00644104"/>
    <w:rsid w:val="00647340"/>
    <w:rsid w:val="006513B1"/>
    <w:rsid w:val="0065451D"/>
    <w:rsid w:val="00654A87"/>
    <w:rsid w:val="0066017F"/>
    <w:rsid w:val="006609E7"/>
    <w:rsid w:val="00662FD8"/>
    <w:rsid w:val="00666468"/>
    <w:rsid w:val="00667BC9"/>
    <w:rsid w:val="00670627"/>
    <w:rsid w:val="00671DF3"/>
    <w:rsid w:val="0067601A"/>
    <w:rsid w:val="00676830"/>
    <w:rsid w:val="00677A52"/>
    <w:rsid w:val="00677E5B"/>
    <w:rsid w:val="006840C8"/>
    <w:rsid w:val="00684E37"/>
    <w:rsid w:val="00687FBE"/>
    <w:rsid w:val="006921EB"/>
    <w:rsid w:val="00693F29"/>
    <w:rsid w:val="006947E2"/>
    <w:rsid w:val="006B0734"/>
    <w:rsid w:val="006B417A"/>
    <w:rsid w:val="006B5D97"/>
    <w:rsid w:val="006C66C5"/>
    <w:rsid w:val="006C7A8A"/>
    <w:rsid w:val="006D0BD7"/>
    <w:rsid w:val="006D1763"/>
    <w:rsid w:val="006D3306"/>
    <w:rsid w:val="006D6773"/>
    <w:rsid w:val="006E0363"/>
    <w:rsid w:val="006F03C4"/>
    <w:rsid w:val="006F1DE1"/>
    <w:rsid w:val="006F5029"/>
    <w:rsid w:val="006F6ACB"/>
    <w:rsid w:val="006F7F0E"/>
    <w:rsid w:val="007015CF"/>
    <w:rsid w:val="007052E4"/>
    <w:rsid w:val="00705603"/>
    <w:rsid w:val="00705C5E"/>
    <w:rsid w:val="00707F49"/>
    <w:rsid w:val="00715C53"/>
    <w:rsid w:val="007207E7"/>
    <w:rsid w:val="00721CE7"/>
    <w:rsid w:val="00722150"/>
    <w:rsid w:val="00725FDC"/>
    <w:rsid w:val="00731051"/>
    <w:rsid w:val="0073309D"/>
    <w:rsid w:val="00737A74"/>
    <w:rsid w:val="007401EE"/>
    <w:rsid w:val="00741CE1"/>
    <w:rsid w:val="00742E7B"/>
    <w:rsid w:val="007435E5"/>
    <w:rsid w:val="00744DA2"/>
    <w:rsid w:val="00745DDA"/>
    <w:rsid w:val="00745F9A"/>
    <w:rsid w:val="00746D56"/>
    <w:rsid w:val="0074784A"/>
    <w:rsid w:val="00752F96"/>
    <w:rsid w:val="00755418"/>
    <w:rsid w:val="0076218D"/>
    <w:rsid w:val="00765562"/>
    <w:rsid w:val="00765955"/>
    <w:rsid w:val="00766E8D"/>
    <w:rsid w:val="00766F54"/>
    <w:rsid w:val="00767040"/>
    <w:rsid w:val="00771C90"/>
    <w:rsid w:val="00773866"/>
    <w:rsid w:val="00775456"/>
    <w:rsid w:val="00776195"/>
    <w:rsid w:val="00780FA3"/>
    <w:rsid w:val="00781F9F"/>
    <w:rsid w:val="00784B26"/>
    <w:rsid w:val="00784F0D"/>
    <w:rsid w:val="00784FE0"/>
    <w:rsid w:val="00792167"/>
    <w:rsid w:val="007944DF"/>
    <w:rsid w:val="00795854"/>
    <w:rsid w:val="00797857"/>
    <w:rsid w:val="007A3CDD"/>
    <w:rsid w:val="007B6018"/>
    <w:rsid w:val="007B7667"/>
    <w:rsid w:val="007C00AA"/>
    <w:rsid w:val="007C1821"/>
    <w:rsid w:val="007C3321"/>
    <w:rsid w:val="007C34E1"/>
    <w:rsid w:val="007C76AC"/>
    <w:rsid w:val="007D15DD"/>
    <w:rsid w:val="007D2164"/>
    <w:rsid w:val="007D33C9"/>
    <w:rsid w:val="007D47C7"/>
    <w:rsid w:val="007D561E"/>
    <w:rsid w:val="007D72AB"/>
    <w:rsid w:val="00800523"/>
    <w:rsid w:val="00801C73"/>
    <w:rsid w:val="00804F78"/>
    <w:rsid w:val="00811ADB"/>
    <w:rsid w:val="00813536"/>
    <w:rsid w:val="008218C7"/>
    <w:rsid w:val="00824740"/>
    <w:rsid w:val="0082486C"/>
    <w:rsid w:val="00824B84"/>
    <w:rsid w:val="00832309"/>
    <w:rsid w:val="008329B3"/>
    <w:rsid w:val="008345D0"/>
    <w:rsid w:val="00834EE5"/>
    <w:rsid w:val="008355DD"/>
    <w:rsid w:val="00835B11"/>
    <w:rsid w:val="00837E84"/>
    <w:rsid w:val="0085054A"/>
    <w:rsid w:val="008527E4"/>
    <w:rsid w:val="0085350C"/>
    <w:rsid w:val="00854015"/>
    <w:rsid w:val="00856371"/>
    <w:rsid w:val="00857A59"/>
    <w:rsid w:val="00863D80"/>
    <w:rsid w:val="00864EFE"/>
    <w:rsid w:val="008666C2"/>
    <w:rsid w:val="0088257C"/>
    <w:rsid w:val="00883924"/>
    <w:rsid w:val="00885A0F"/>
    <w:rsid w:val="0089008C"/>
    <w:rsid w:val="0089010E"/>
    <w:rsid w:val="00894D22"/>
    <w:rsid w:val="00895570"/>
    <w:rsid w:val="00896642"/>
    <w:rsid w:val="008A2288"/>
    <w:rsid w:val="008A2B3B"/>
    <w:rsid w:val="008A3CDF"/>
    <w:rsid w:val="008A6857"/>
    <w:rsid w:val="008B0DFC"/>
    <w:rsid w:val="008B2ADE"/>
    <w:rsid w:val="008B2B5F"/>
    <w:rsid w:val="008B57D2"/>
    <w:rsid w:val="008B590D"/>
    <w:rsid w:val="008C0740"/>
    <w:rsid w:val="008C102E"/>
    <w:rsid w:val="008C59DF"/>
    <w:rsid w:val="008C5F51"/>
    <w:rsid w:val="008D526C"/>
    <w:rsid w:val="008D71B3"/>
    <w:rsid w:val="008E11DD"/>
    <w:rsid w:val="008E44EA"/>
    <w:rsid w:val="008E763A"/>
    <w:rsid w:val="008F37E4"/>
    <w:rsid w:val="008F5C8E"/>
    <w:rsid w:val="0090557F"/>
    <w:rsid w:val="00905FAE"/>
    <w:rsid w:val="00907619"/>
    <w:rsid w:val="00910E69"/>
    <w:rsid w:val="00911812"/>
    <w:rsid w:val="00916436"/>
    <w:rsid w:val="00920322"/>
    <w:rsid w:val="00933306"/>
    <w:rsid w:val="00937564"/>
    <w:rsid w:val="00944F7D"/>
    <w:rsid w:val="009503DA"/>
    <w:rsid w:val="00951E49"/>
    <w:rsid w:val="009533A9"/>
    <w:rsid w:val="00954FC2"/>
    <w:rsid w:val="009573B0"/>
    <w:rsid w:val="009576DE"/>
    <w:rsid w:val="00957F23"/>
    <w:rsid w:val="009613AF"/>
    <w:rsid w:val="009679C3"/>
    <w:rsid w:val="00973472"/>
    <w:rsid w:val="0097569F"/>
    <w:rsid w:val="00980B3F"/>
    <w:rsid w:val="00981366"/>
    <w:rsid w:val="009823B0"/>
    <w:rsid w:val="00982616"/>
    <w:rsid w:val="0098575F"/>
    <w:rsid w:val="009951C4"/>
    <w:rsid w:val="009951F7"/>
    <w:rsid w:val="00995E73"/>
    <w:rsid w:val="009A0BA6"/>
    <w:rsid w:val="009A6BE9"/>
    <w:rsid w:val="009B0F9D"/>
    <w:rsid w:val="009B39DD"/>
    <w:rsid w:val="009B4ACC"/>
    <w:rsid w:val="009B57BA"/>
    <w:rsid w:val="009B704B"/>
    <w:rsid w:val="009C287E"/>
    <w:rsid w:val="009C3208"/>
    <w:rsid w:val="009C3540"/>
    <w:rsid w:val="009C46D1"/>
    <w:rsid w:val="009C52DE"/>
    <w:rsid w:val="009D1049"/>
    <w:rsid w:val="009D752E"/>
    <w:rsid w:val="009E08EF"/>
    <w:rsid w:val="009E112E"/>
    <w:rsid w:val="009E352A"/>
    <w:rsid w:val="009E59E6"/>
    <w:rsid w:val="009F0AB6"/>
    <w:rsid w:val="009F1E75"/>
    <w:rsid w:val="009F48EB"/>
    <w:rsid w:val="009F63C2"/>
    <w:rsid w:val="00A0031E"/>
    <w:rsid w:val="00A00903"/>
    <w:rsid w:val="00A03A5C"/>
    <w:rsid w:val="00A04A5D"/>
    <w:rsid w:val="00A05DEE"/>
    <w:rsid w:val="00A061DC"/>
    <w:rsid w:val="00A073EC"/>
    <w:rsid w:val="00A124A9"/>
    <w:rsid w:val="00A13D2A"/>
    <w:rsid w:val="00A20B97"/>
    <w:rsid w:val="00A212A2"/>
    <w:rsid w:val="00A2648E"/>
    <w:rsid w:val="00A26B22"/>
    <w:rsid w:val="00A316E8"/>
    <w:rsid w:val="00A33439"/>
    <w:rsid w:val="00A4160A"/>
    <w:rsid w:val="00A41BCA"/>
    <w:rsid w:val="00A42E06"/>
    <w:rsid w:val="00A439EA"/>
    <w:rsid w:val="00A45166"/>
    <w:rsid w:val="00A46956"/>
    <w:rsid w:val="00A513D8"/>
    <w:rsid w:val="00A6024C"/>
    <w:rsid w:val="00A63DD6"/>
    <w:rsid w:val="00A656BB"/>
    <w:rsid w:val="00A70B94"/>
    <w:rsid w:val="00A71E14"/>
    <w:rsid w:val="00A754E5"/>
    <w:rsid w:val="00A8134B"/>
    <w:rsid w:val="00A814A8"/>
    <w:rsid w:val="00A81A4A"/>
    <w:rsid w:val="00A8310F"/>
    <w:rsid w:val="00A84149"/>
    <w:rsid w:val="00A85C85"/>
    <w:rsid w:val="00A864F8"/>
    <w:rsid w:val="00A9236D"/>
    <w:rsid w:val="00A93380"/>
    <w:rsid w:val="00A94896"/>
    <w:rsid w:val="00A95501"/>
    <w:rsid w:val="00A968D1"/>
    <w:rsid w:val="00A96B8E"/>
    <w:rsid w:val="00AA09C2"/>
    <w:rsid w:val="00AA27B0"/>
    <w:rsid w:val="00AA3ADD"/>
    <w:rsid w:val="00AB5195"/>
    <w:rsid w:val="00AB54A1"/>
    <w:rsid w:val="00AB6216"/>
    <w:rsid w:val="00AB75DC"/>
    <w:rsid w:val="00AC1383"/>
    <w:rsid w:val="00AC2628"/>
    <w:rsid w:val="00AC4F6E"/>
    <w:rsid w:val="00AC5580"/>
    <w:rsid w:val="00AD2C2D"/>
    <w:rsid w:val="00AD76E5"/>
    <w:rsid w:val="00AE192D"/>
    <w:rsid w:val="00AE1A90"/>
    <w:rsid w:val="00AE2A6E"/>
    <w:rsid w:val="00AE39D8"/>
    <w:rsid w:val="00AE6799"/>
    <w:rsid w:val="00AE67A4"/>
    <w:rsid w:val="00AF00DC"/>
    <w:rsid w:val="00AF1E5B"/>
    <w:rsid w:val="00AF1F9A"/>
    <w:rsid w:val="00AF6C48"/>
    <w:rsid w:val="00AF708E"/>
    <w:rsid w:val="00B03426"/>
    <w:rsid w:val="00B03E5F"/>
    <w:rsid w:val="00B04BB0"/>
    <w:rsid w:val="00B128BB"/>
    <w:rsid w:val="00B139B9"/>
    <w:rsid w:val="00B14137"/>
    <w:rsid w:val="00B16F85"/>
    <w:rsid w:val="00B17EF5"/>
    <w:rsid w:val="00B20175"/>
    <w:rsid w:val="00B2086C"/>
    <w:rsid w:val="00B2520B"/>
    <w:rsid w:val="00B32224"/>
    <w:rsid w:val="00B33541"/>
    <w:rsid w:val="00B44584"/>
    <w:rsid w:val="00B45CE0"/>
    <w:rsid w:val="00B45EB4"/>
    <w:rsid w:val="00B4679A"/>
    <w:rsid w:val="00B51480"/>
    <w:rsid w:val="00B52107"/>
    <w:rsid w:val="00B52FC6"/>
    <w:rsid w:val="00B536AE"/>
    <w:rsid w:val="00B55A4A"/>
    <w:rsid w:val="00B564D1"/>
    <w:rsid w:val="00B60D1D"/>
    <w:rsid w:val="00B65D4D"/>
    <w:rsid w:val="00B6672D"/>
    <w:rsid w:val="00B67855"/>
    <w:rsid w:val="00B67E52"/>
    <w:rsid w:val="00B70CE8"/>
    <w:rsid w:val="00B716C4"/>
    <w:rsid w:val="00B71A89"/>
    <w:rsid w:val="00B73CF2"/>
    <w:rsid w:val="00B7695A"/>
    <w:rsid w:val="00B771F3"/>
    <w:rsid w:val="00B80136"/>
    <w:rsid w:val="00B8550C"/>
    <w:rsid w:val="00B85C54"/>
    <w:rsid w:val="00B871A5"/>
    <w:rsid w:val="00B87DFB"/>
    <w:rsid w:val="00B90157"/>
    <w:rsid w:val="00B91A12"/>
    <w:rsid w:val="00B95946"/>
    <w:rsid w:val="00B9608D"/>
    <w:rsid w:val="00B966A6"/>
    <w:rsid w:val="00B96A31"/>
    <w:rsid w:val="00B976AF"/>
    <w:rsid w:val="00BA25D4"/>
    <w:rsid w:val="00BA5DB9"/>
    <w:rsid w:val="00BA6F5D"/>
    <w:rsid w:val="00BB0C68"/>
    <w:rsid w:val="00BB2D4C"/>
    <w:rsid w:val="00BB4A7A"/>
    <w:rsid w:val="00BB548E"/>
    <w:rsid w:val="00BC1787"/>
    <w:rsid w:val="00BC57F0"/>
    <w:rsid w:val="00BC7F4D"/>
    <w:rsid w:val="00BD0316"/>
    <w:rsid w:val="00BD1452"/>
    <w:rsid w:val="00BD3225"/>
    <w:rsid w:val="00BE04FD"/>
    <w:rsid w:val="00BE69B7"/>
    <w:rsid w:val="00BE6C9D"/>
    <w:rsid w:val="00BE7627"/>
    <w:rsid w:val="00BF1ED1"/>
    <w:rsid w:val="00BF381C"/>
    <w:rsid w:val="00C02A0E"/>
    <w:rsid w:val="00C0506C"/>
    <w:rsid w:val="00C05C78"/>
    <w:rsid w:val="00C078FF"/>
    <w:rsid w:val="00C07E35"/>
    <w:rsid w:val="00C10F12"/>
    <w:rsid w:val="00C15A96"/>
    <w:rsid w:val="00C15C21"/>
    <w:rsid w:val="00C22BBC"/>
    <w:rsid w:val="00C23D5A"/>
    <w:rsid w:val="00C24D54"/>
    <w:rsid w:val="00C25F82"/>
    <w:rsid w:val="00C2700B"/>
    <w:rsid w:val="00C37C59"/>
    <w:rsid w:val="00C42602"/>
    <w:rsid w:val="00C437E9"/>
    <w:rsid w:val="00C43EAE"/>
    <w:rsid w:val="00C47761"/>
    <w:rsid w:val="00C50F8B"/>
    <w:rsid w:val="00C55DB7"/>
    <w:rsid w:val="00C57666"/>
    <w:rsid w:val="00C620FD"/>
    <w:rsid w:val="00C632FC"/>
    <w:rsid w:val="00C662C0"/>
    <w:rsid w:val="00C66388"/>
    <w:rsid w:val="00C66CFC"/>
    <w:rsid w:val="00C70BE8"/>
    <w:rsid w:val="00C73503"/>
    <w:rsid w:val="00C74CA3"/>
    <w:rsid w:val="00C75A91"/>
    <w:rsid w:val="00C7643D"/>
    <w:rsid w:val="00C76558"/>
    <w:rsid w:val="00C76A81"/>
    <w:rsid w:val="00C76CC8"/>
    <w:rsid w:val="00C805D2"/>
    <w:rsid w:val="00C8131F"/>
    <w:rsid w:val="00C8313F"/>
    <w:rsid w:val="00C8567D"/>
    <w:rsid w:val="00C876AA"/>
    <w:rsid w:val="00C902F9"/>
    <w:rsid w:val="00C96DC8"/>
    <w:rsid w:val="00CA6A7C"/>
    <w:rsid w:val="00CA6EC9"/>
    <w:rsid w:val="00CB0D32"/>
    <w:rsid w:val="00CB1625"/>
    <w:rsid w:val="00CB305B"/>
    <w:rsid w:val="00CB45FD"/>
    <w:rsid w:val="00CB56D2"/>
    <w:rsid w:val="00CB56DF"/>
    <w:rsid w:val="00CB673A"/>
    <w:rsid w:val="00CB7A1D"/>
    <w:rsid w:val="00CC4767"/>
    <w:rsid w:val="00CC71B8"/>
    <w:rsid w:val="00CD0F4B"/>
    <w:rsid w:val="00CD3CD8"/>
    <w:rsid w:val="00CE09EE"/>
    <w:rsid w:val="00CE3FE5"/>
    <w:rsid w:val="00CE4091"/>
    <w:rsid w:val="00CE52E1"/>
    <w:rsid w:val="00CE596B"/>
    <w:rsid w:val="00CE67D8"/>
    <w:rsid w:val="00CF04D2"/>
    <w:rsid w:val="00CF0BA7"/>
    <w:rsid w:val="00CF2145"/>
    <w:rsid w:val="00D021A8"/>
    <w:rsid w:val="00D03D71"/>
    <w:rsid w:val="00D03D9A"/>
    <w:rsid w:val="00D12F2A"/>
    <w:rsid w:val="00D14FAB"/>
    <w:rsid w:val="00D16C68"/>
    <w:rsid w:val="00D207BB"/>
    <w:rsid w:val="00D20852"/>
    <w:rsid w:val="00D21091"/>
    <w:rsid w:val="00D265FD"/>
    <w:rsid w:val="00D32098"/>
    <w:rsid w:val="00D324D9"/>
    <w:rsid w:val="00D342CF"/>
    <w:rsid w:val="00D35F0A"/>
    <w:rsid w:val="00D37FE4"/>
    <w:rsid w:val="00D40EA6"/>
    <w:rsid w:val="00D43155"/>
    <w:rsid w:val="00D46F8F"/>
    <w:rsid w:val="00D50303"/>
    <w:rsid w:val="00D60DCE"/>
    <w:rsid w:val="00D6714E"/>
    <w:rsid w:val="00D70C02"/>
    <w:rsid w:val="00D72614"/>
    <w:rsid w:val="00D75894"/>
    <w:rsid w:val="00D7788B"/>
    <w:rsid w:val="00D80742"/>
    <w:rsid w:val="00D83708"/>
    <w:rsid w:val="00D8374D"/>
    <w:rsid w:val="00D83EFC"/>
    <w:rsid w:val="00D900ED"/>
    <w:rsid w:val="00D923AC"/>
    <w:rsid w:val="00D9523F"/>
    <w:rsid w:val="00D95CB3"/>
    <w:rsid w:val="00DA06A2"/>
    <w:rsid w:val="00DA0FCF"/>
    <w:rsid w:val="00DA16EA"/>
    <w:rsid w:val="00DA24D9"/>
    <w:rsid w:val="00DA38F8"/>
    <w:rsid w:val="00DA5310"/>
    <w:rsid w:val="00DA5DD2"/>
    <w:rsid w:val="00DA7601"/>
    <w:rsid w:val="00DB33C8"/>
    <w:rsid w:val="00DB3731"/>
    <w:rsid w:val="00DB57BB"/>
    <w:rsid w:val="00DB79F2"/>
    <w:rsid w:val="00DC211B"/>
    <w:rsid w:val="00DC3AB0"/>
    <w:rsid w:val="00DC670C"/>
    <w:rsid w:val="00DD2E79"/>
    <w:rsid w:val="00DD53DB"/>
    <w:rsid w:val="00DD6CDC"/>
    <w:rsid w:val="00DD77C3"/>
    <w:rsid w:val="00DE28CA"/>
    <w:rsid w:val="00DE55E8"/>
    <w:rsid w:val="00DE78E0"/>
    <w:rsid w:val="00DF0CD5"/>
    <w:rsid w:val="00DF2AC8"/>
    <w:rsid w:val="00DF4054"/>
    <w:rsid w:val="00DF55A0"/>
    <w:rsid w:val="00DF7B96"/>
    <w:rsid w:val="00E011B0"/>
    <w:rsid w:val="00E03D45"/>
    <w:rsid w:val="00E04E5B"/>
    <w:rsid w:val="00E05318"/>
    <w:rsid w:val="00E10777"/>
    <w:rsid w:val="00E13526"/>
    <w:rsid w:val="00E15C4C"/>
    <w:rsid w:val="00E17143"/>
    <w:rsid w:val="00E20E6E"/>
    <w:rsid w:val="00E21523"/>
    <w:rsid w:val="00E258BD"/>
    <w:rsid w:val="00E25EC1"/>
    <w:rsid w:val="00E263A9"/>
    <w:rsid w:val="00E26F77"/>
    <w:rsid w:val="00E27D91"/>
    <w:rsid w:val="00E364C5"/>
    <w:rsid w:val="00E37E60"/>
    <w:rsid w:val="00E41D50"/>
    <w:rsid w:val="00E43495"/>
    <w:rsid w:val="00E50CFC"/>
    <w:rsid w:val="00E52CE3"/>
    <w:rsid w:val="00E533CC"/>
    <w:rsid w:val="00E57F82"/>
    <w:rsid w:val="00E6426D"/>
    <w:rsid w:val="00E64C75"/>
    <w:rsid w:val="00E667A4"/>
    <w:rsid w:val="00E70EFF"/>
    <w:rsid w:val="00E718F3"/>
    <w:rsid w:val="00E72C44"/>
    <w:rsid w:val="00E76BA0"/>
    <w:rsid w:val="00E85A8E"/>
    <w:rsid w:val="00E86843"/>
    <w:rsid w:val="00E91B2D"/>
    <w:rsid w:val="00E92977"/>
    <w:rsid w:val="00E9378E"/>
    <w:rsid w:val="00E93919"/>
    <w:rsid w:val="00E9437A"/>
    <w:rsid w:val="00E95446"/>
    <w:rsid w:val="00EA3D28"/>
    <w:rsid w:val="00EA452C"/>
    <w:rsid w:val="00EA4CAC"/>
    <w:rsid w:val="00EA721D"/>
    <w:rsid w:val="00EA7DFA"/>
    <w:rsid w:val="00EB2FC8"/>
    <w:rsid w:val="00EC1B1C"/>
    <w:rsid w:val="00EC1FE5"/>
    <w:rsid w:val="00EC5AA5"/>
    <w:rsid w:val="00ED1162"/>
    <w:rsid w:val="00ED6208"/>
    <w:rsid w:val="00EE0975"/>
    <w:rsid w:val="00EE62C2"/>
    <w:rsid w:val="00EE7AE8"/>
    <w:rsid w:val="00EF4E96"/>
    <w:rsid w:val="00EF6686"/>
    <w:rsid w:val="00EF799F"/>
    <w:rsid w:val="00F01DE4"/>
    <w:rsid w:val="00F055A1"/>
    <w:rsid w:val="00F06A76"/>
    <w:rsid w:val="00F072F9"/>
    <w:rsid w:val="00F0742C"/>
    <w:rsid w:val="00F128F7"/>
    <w:rsid w:val="00F24C3D"/>
    <w:rsid w:val="00F273B1"/>
    <w:rsid w:val="00F3200E"/>
    <w:rsid w:val="00F35930"/>
    <w:rsid w:val="00F364E5"/>
    <w:rsid w:val="00F426E0"/>
    <w:rsid w:val="00F4394C"/>
    <w:rsid w:val="00F445F7"/>
    <w:rsid w:val="00F476F9"/>
    <w:rsid w:val="00F52744"/>
    <w:rsid w:val="00F540F9"/>
    <w:rsid w:val="00F546BA"/>
    <w:rsid w:val="00F6029E"/>
    <w:rsid w:val="00F61E16"/>
    <w:rsid w:val="00F63D2C"/>
    <w:rsid w:val="00F667C8"/>
    <w:rsid w:val="00F67284"/>
    <w:rsid w:val="00F728E7"/>
    <w:rsid w:val="00F81169"/>
    <w:rsid w:val="00F9122E"/>
    <w:rsid w:val="00F92173"/>
    <w:rsid w:val="00FA4494"/>
    <w:rsid w:val="00FA6414"/>
    <w:rsid w:val="00FA7D82"/>
    <w:rsid w:val="00FB53E1"/>
    <w:rsid w:val="00FB5DF9"/>
    <w:rsid w:val="00FC0B63"/>
    <w:rsid w:val="00FC2926"/>
    <w:rsid w:val="00FC520B"/>
    <w:rsid w:val="00FD11E1"/>
    <w:rsid w:val="00FD3417"/>
    <w:rsid w:val="00FD3D7B"/>
    <w:rsid w:val="00FD3ED2"/>
    <w:rsid w:val="00FD560C"/>
    <w:rsid w:val="00FE378C"/>
    <w:rsid w:val="00FF01B6"/>
    <w:rsid w:val="00FF2C28"/>
    <w:rsid w:val="00FF2C40"/>
    <w:rsid w:val="00FF3E9F"/>
    <w:rsid w:val="00FF4D6B"/>
    <w:rsid w:val="00FF5C52"/>
    <w:rsid w:val="05602B5A"/>
    <w:rsid w:val="0CAB129F"/>
    <w:rsid w:val="0D594676"/>
    <w:rsid w:val="1393782A"/>
    <w:rsid w:val="1F9D2214"/>
    <w:rsid w:val="2BAF3987"/>
    <w:rsid w:val="2CAF66DE"/>
    <w:rsid w:val="35715E7E"/>
    <w:rsid w:val="396E752B"/>
    <w:rsid w:val="3E591090"/>
    <w:rsid w:val="427F2BFD"/>
    <w:rsid w:val="4FA06193"/>
    <w:rsid w:val="504F1E55"/>
    <w:rsid w:val="53537A1A"/>
    <w:rsid w:val="539F644A"/>
    <w:rsid w:val="546D6AED"/>
    <w:rsid w:val="5C002691"/>
    <w:rsid w:val="5F8642C8"/>
    <w:rsid w:val="625D6AE8"/>
    <w:rsid w:val="6A83144A"/>
    <w:rsid w:val="711A4A37"/>
    <w:rsid w:val="739B2FEE"/>
    <w:rsid w:val="73F22515"/>
    <w:rsid w:val="788A1E5E"/>
    <w:rsid w:val="79F2063E"/>
    <w:rsid w:val="7A1204C4"/>
    <w:rsid w:val="7BF3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EB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0"/>
    <w:next w:val="a"/>
    <w:qFormat/>
    <w:rsid w:val="001F7EB1"/>
    <w:pPr>
      <w:outlineLvl w:val="1"/>
    </w:pPr>
    <w:rPr>
      <w:b/>
    </w:rPr>
  </w:style>
  <w:style w:type="paragraph" w:styleId="3">
    <w:name w:val="heading 3"/>
    <w:basedOn w:val="a0"/>
    <w:next w:val="a"/>
    <w:qFormat/>
    <w:rsid w:val="001F7EB1"/>
    <w:pPr>
      <w:ind w:firstLine="56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1F7EB1"/>
    <w:pPr>
      <w:widowControl/>
      <w:spacing w:line="500" w:lineRule="exact"/>
      <w:jc w:val="left"/>
    </w:pPr>
    <w:rPr>
      <w:rFonts w:ascii="宋体" w:hAnsi="Courier New" w:cs="Courier New"/>
      <w:kern w:val="0"/>
      <w:sz w:val="28"/>
      <w:szCs w:val="28"/>
    </w:rPr>
  </w:style>
  <w:style w:type="paragraph" w:styleId="a4">
    <w:name w:val="Document Map"/>
    <w:basedOn w:val="a"/>
    <w:semiHidden/>
    <w:qFormat/>
    <w:rsid w:val="001F7EB1"/>
    <w:pPr>
      <w:shd w:val="clear" w:color="auto" w:fill="000080"/>
    </w:pPr>
  </w:style>
  <w:style w:type="paragraph" w:styleId="a5">
    <w:name w:val="Body Text"/>
    <w:basedOn w:val="a"/>
    <w:qFormat/>
    <w:rsid w:val="001F7EB1"/>
    <w:pPr>
      <w:widowControl/>
      <w:spacing w:after="120" w:line="500" w:lineRule="exact"/>
      <w:jc w:val="left"/>
    </w:pPr>
    <w:rPr>
      <w:rFonts w:ascii="宋体" w:hAnsi="宋体"/>
      <w:kern w:val="0"/>
      <w:sz w:val="28"/>
      <w:szCs w:val="28"/>
    </w:rPr>
  </w:style>
  <w:style w:type="paragraph" w:styleId="a6">
    <w:name w:val="footer"/>
    <w:basedOn w:val="a"/>
    <w:link w:val="Char"/>
    <w:qFormat/>
    <w:rsid w:val="001F7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1F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qFormat/>
    <w:rsid w:val="001F7EB1"/>
    <w:pPr>
      <w:spacing w:line="500" w:lineRule="exact"/>
      <w:jc w:val="left"/>
    </w:pPr>
    <w:rPr>
      <w:rFonts w:ascii="宋体" w:hAnsi="宋体"/>
      <w:snapToGrid w:val="0"/>
      <w:kern w:val="0"/>
      <w:sz w:val="28"/>
      <w:szCs w:val="20"/>
    </w:rPr>
  </w:style>
  <w:style w:type="paragraph" w:styleId="a8">
    <w:name w:val="Normal (Web)"/>
    <w:basedOn w:val="a"/>
    <w:qFormat/>
    <w:rsid w:val="001F7EB1"/>
    <w:pPr>
      <w:widowControl/>
      <w:spacing w:line="360" w:lineRule="auto"/>
      <w:ind w:firstLine="480"/>
      <w:jc w:val="left"/>
      <w:textAlignment w:val="baseline"/>
    </w:pPr>
    <w:rPr>
      <w:rFonts w:ascii="Arial" w:hAnsi="Arial" w:cs="Arial"/>
      <w:kern w:val="0"/>
      <w:sz w:val="18"/>
      <w:szCs w:val="18"/>
    </w:rPr>
  </w:style>
  <w:style w:type="table" w:styleId="a9">
    <w:name w:val="Table Grid"/>
    <w:basedOn w:val="a2"/>
    <w:qFormat/>
    <w:rsid w:val="001F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qFormat/>
    <w:rsid w:val="001F7EB1"/>
    <w:rPr>
      <w:szCs w:val="21"/>
    </w:rPr>
  </w:style>
  <w:style w:type="character" w:styleId="aa">
    <w:name w:val="Strong"/>
    <w:basedOn w:val="a1"/>
    <w:qFormat/>
    <w:rsid w:val="001F7EB1"/>
    <w:rPr>
      <w:b/>
      <w:bCs/>
    </w:rPr>
  </w:style>
  <w:style w:type="paragraph" w:customStyle="1" w:styleId="CharCharChar">
    <w:name w:val="Char Char Char"/>
    <w:basedOn w:val="a"/>
    <w:qFormat/>
    <w:rsid w:val="001F7EB1"/>
  </w:style>
  <w:style w:type="character" w:customStyle="1" w:styleId="Char0">
    <w:name w:val="页眉 Char"/>
    <w:basedOn w:val="a1"/>
    <w:link w:val="a7"/>
    <w:qFormat/>
    <w:rsid w:val="001F7EB1"/>
    <w:rPr>
      <w:kern w:val="2"/>
      <w:sz w:val="18"/>
      <w:szCs w:val="18"/>
    </w:rPr>
  </w:style>
  <w:style w:type="character" w:customStyle="1" w:styleId="Char">
    <w:name w:val="页脚 Char"/>
    <w:basedOn w:val="a1"/>
    <w:link w:val="a6"/>
    <w:qFormat/>
    <w:rsid w:val="001F7EB1"/>
    <w:rPr>
      <w:kern w:val="2"/>
      <w:sz w:val="18"/>
      <w:szCs w:val="18"/>
    </w:rPr>
  </w:style>
  <w:style w:type="paragraph" w:customStyle="1" w:styleId="Char8">
    <w:name w:val="Char8"/>
    <w:basedOn w:val="a"/>
    <w:rsid w:val="001F7EB1"/>
    <w:pPr>
      <w:tabs>
        <w:tab w:val="left" w:pos="840"/>
      </w:tabs>
      <w:ind w:left="840" w:hanging="420"/>
    </w:pPr>
    <w:rPr>
      <w:sz w:val="24"/>
    </w:rPr>
  </w:style>
  <w:style w:type="paragraph" w:customStyle="1" w:styleId="ParaCharCharCharCharCharCharChar">
    <w:name w:val="默认段落字体 Para Char Char Char Char Char Char Char"/>
    <w:basedOn w:val="a"/>
    <w:rsid w:val="001F7E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782</Characters>
  <Application>Microsoft Office Word</Application>
  <DocSecurity>0</DocSecurity>
  <Lines>6</Lines>
  <Paragraphs>1</Paragraphs>
  <ScaleCrop>false</ScaleCrop>
  <Company>ASUS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山东省城市集中式饮用水水源地</dc:title>
  <dc:creator>ASUS</dc:creator>
  <cp:lastModifiedBy>Microsoft</cp:lastModifiedBy>
  <cp:revision>5</cp:revision>
  <cp:lastPrinted>2021-07-21T01:34:00Z</cp:lastPrinted>
  <dcterms:created xsi:type="dcterms:W3CDTF">2018-08-02T02:10:00Z</dcterms:created>
  <dcterms:modified xsi:type="dcterms:W3CDTF">2021-07-21T01:37:00Z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